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92AB3" w14:textId="0DB2CA98" w:rsidR="00E14AD4" w:rsidRDefault="00E14AD4" w:rsidP="00E14AD4">
      <w:pPr>
        <w:pStyle w:val="Header"/>
        <w:tabs>
          <w:tab w:val="right" w:pos="9639"/>
        </w:tabs>
        <w:rPr>
          <w:bCs/>
          <w:i/>
          <w:noProof w:val="0"/>
          <w:sz w:val="24"/>
          <w:szCs w:val="24"/>
        </w:rPr>
      </w:pPr>
      <w:r>
        <w:rPr>
          <w:bCs/>
          <w:noProof w:val="0"/>
          <w:sz w:val="24"/>
          <w:szCs w:val="24"/>
        </w:rPr>
        <w:t>3GPP TSG-RAN WG2 Meeting #10</w:t>
      </w:r>
      <w:r w:rsidR="00CA1EBA">
        <w:rPr>
          <w:bCs/>
          <w:noProof w:val="0"/>
          <w:sz w:val="24"/>
          <w:szCs w:val="24"/>
        </w:rPr>
        <w:t>7</w:t>
      </w:r>
      <w:r w:rsidR="00B905B0">
        <w:rPr>
          <w:bCs/>
          <w:noProof w:val="0"/>
          <w:sz w:val="24"/>
          <w:szCs w:val="24"/>
        </w:rPr>
        <w:t>bis</w:t>
      </w:r>
      <w:r>
        <w:rPr>
          <w:bCs/>
          <w:noProof w:val="0"/>
          <w:sz w:val="24"/>
          <w:szCs w:val="24"/>
        </w:rPr>
        <w:tab/>
      </w:r>
      <w:r w:rsidR="00155497" w:rsidRPr="00155497">
        <w:rPr>
          <w:bCs/>
          <w:noProof w:val="0"/>
          <w:sz w:val="24"/>
          <w:szCs w:val="24"/>
        </w:rPr>
        <w:t>R2-1915694</w:t>
      </w:r>
      <w:bookmarkStart w:id="0" w:name="_GoBack"/>
      <w:bookmarkEnd w:id="0"/>
    </w:p>
    <w:p w14:paraId="11776FA6" w14:textId="625D992E" w:rsidR="00A209D6" w:rsidRPr="00465587" w:rsidRDefault="00B905B0" w:rsidP="00E14AD4">
      <w:pPr>
        <w:pStyle w:val="Header"/>
        <w:tabs>
          <w:tab w:val="right" w:pos="9639"/>
        </w:tabs>
        <w:rPr>
          <w:rFonts w:eastAsia="SimSun"/>
          <w:bCs/>
          <w:sz w:val="24"/>
          <w:szCs w:val="24"/>
          <w:lang w:eastAsia="zh-CN"/>
        </w:rPr>
      </w:pPr>
      <w:r>
        <w:rPr>
          <w:rFonts w:eastAsia="SimSun"/>
          <w:bCs/>
          <w:sz w:val="24"/>
          <w:szCs w:val="24"/>
          <w:lang w:eastAsia="zh-CN"/>
        </w:rPr>
        <w:t>Chongqing</w:t>
      </w:r>
      <w:r w:rsidR="00E14AD4">
        <w:rPr>
          <w:rFonts w:eastAsia="SimSun"/>
          <w:bCs/>
          <w:sz w:val="24"/>
          <w:szCs w:val="24"/>
          <w:lang w:eastAsia="zh-CN"/>
        </w:rPr>
        <w:t xml:space="preserve">,  </w:t>
      </w:r>
      <w:r>
        <w:rPr>
          <w:rFonts w:eastAsia="SimSun"/>
          <w:bCs/>
          <w:sz w:val="24"/>
          <w:szCs w:val="24"/>
          <w:lang w:eastAsia="zh-CN"/>
        </w:rPr>
        <w:t>China</w:t>
      </w:r>
      <w:r w:rsidR="00E14AD4">
        <w:rPr>
          <w:rFonts w:eastAsia="SimSun"/>
          <w:bCs/>
          <w:sz w:val="24"/>
          <w:szCs w:val="24"/>
          <w:lang w:eastAsia="zh-CN"/>
        </w:rPr>
        <w:t xml:space="preserve">, </w:t>
      </w:r>
      <w:r>
        <w:rPr>
          <w:rFonts w:eastAsia="SimSun"/>
          <w:bCs/>
          <w:sz w:val="24"/>
          <w:szCs w:val="24"/>
          <w:lang w:eastAsia="zh-CN"/>
        </w:rPr>
        <w:t>14</w:t>
      </w:r>
      <w:r w:rsidR="00E14AD4">
        <w:rPr>
          <w:rFonts w:eastAsia="SimSun"/>
          <w:bCs/>
          <w:sz w:val="24"/>
          <w:szCs w:val="24"/>
          <w:lang w:eastAsia="zh-CN"/>
        </w:rPr>
        <w:t xml:space="preserve"> – </w:t>
      </w:r>
      <w:r>
        <w:rPr>
          <w:rFonts w:eastAsia="SimSun"/>
          <w:bCs/>
          <w:sz w:val="24"/>
          <w:szCs w:val="24"/>
          <w:lang w:eastAsia="zh-CN"/>
        </w:rPr>
        <w:t>18</w:t>
      </w:r>
      <w:r w:rsidR="00E14AD4">
        <w:rPr>
          <w:rFonts w:eastAsia="SimSun"/>
          <w:bCs/>
          <w:sz w:val="24"/>
          <w:szCs w:val="24"/>
          <w:lang w:eastAsia="zh-CN"/>
        </w:rPr>
        <w:t xml:space="preserve"> </w:t>
      </w:r>
      <w:r>
        <w:rPr>
          <w:rFonts w:eastAsia="SimSun"/>
          <w:bCs/>
          <w:sz w:val="24"/>
          <w:szCs w:val="24"/>
          <w:lang w:eastAsia="zh-CN"/>
        </w:rPr>
        <w:t>october</w:t>
      </w:r>
      <w:r w:rsidR="00E14AD4">
        <w:rPr>
          <w:rFonts w:eastAsia="SimSun"/>
          <w:bCs/>
          <w:sz w:val="24"/>
          <w:szCs w:val="24"/>
          <w:lang w:eastAsia="zh-CN"/>
        </w:rPr>
        <w:t xml:space="preserve"> 2019</w:t>
      </w:r>
      <w:r w:rsidR="00A209D6">
        <w:rPr>
          <w:rFonts w:eastAsia="SimSun"/>
          <w:noProof w:val="0"/>
          <w:sz w:val="24"/>
          <w:szCs w:val="24"/>
          <w:lang w:eastAsia="zh-CN"/>
        </w:rPr>
        <w:tab/>
      </w:r>
      <w:r w:rsidR="00E14AD4" w:rsidRPr="00E14AD4">
        <w:rPr>
          <w:rFonts w:eastAsia="SimSun"/>
          <w:i/>
          <w:noProof w:val="0"/>
          <w:sz w:val="24"/>
          <w:szCs w:val="24"/>
          <w:lang w:eastAsia="zh-CN"/>
        </w:rPr>
        <w:t xml:space="preserve">Resubmission of </w:t>
      </w:r>
      <w:r w:rsidR="009B0ED4" w:rsidRPr="009B0ED4">
        <w:rPr>
          <w:bCs/>
          <w:i/>
          <w:noProof w:val="0"/>
          <w:sz w:val="24"/>
          <w:szCs w:val="24"/>
        </w:rPr>
        <w:t>R2-1913455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6C2D32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05B0">
        <w:rPr>
          <w:rFonts w:cs="Arial"/>
          <w:b/>
          <w:bCs/>
          <w:sz w:val="24"/>
        </w:rPr>
        <w:t>6</w:t>
      </w:r>
      <w:r>
        <w:rPr>
          <w:rFonts w:cs="Arial"/>
          <w:b/>
          <w:bCs/>
          <w:sz w:val="24"/>
          <w:lang w:eastAsia="ja-JP"/>
        </w:rPr>
        <w:t>.</w:t>
      </w:r>
      <w:r w:rsidR="00850467">
        <w:rPr>
          <w:rFonts w:cs="Arial"/>
          <w:b/>
          <w:bCs/>
          <w:sz w:val="24"/>
          <w:lang w:eastAsia="ja-JP"/>
        </w:rPr>
        <w:t>7</w:t>
      </w:r>
      <w:r>
        <w:rPr>
          <w:rFonts w:cs="Arial"/>
          <w:b/>
          <w:bCs/>
          <w:sz w:val="24"/>
          <w:lang w:eastAsia="ja-JP"/>
        </w:rPr>
        <w:t>.</w:t>
      </w:r>
      <w:r w:rsidR="00E14AD4">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7288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17C8">
        <w:rPr>
          <w:rFonts w:ascii="Arial" w:hAnsi="Arial" w:cs="Arial"/>
          <w:b/>
          <w:bCs/>
          <w:sz w:val="24"/>
        </w:rPr>
        <w:t>SPS collisions with m</w:t>
      </w:r>
      <w:r w:rsidR="00D44373">
        <w:rPr>
          <w:rFonts w:ascii="Arial" w:hAnsi="Arial" w:cs="Arial"/>
          <w:b/>
          <w:bCs/>
          <w:sz w:val="24"/>
        </w:rPr>
        <w:t>ultiple SPS configuration</w:t>
      </w:r>
      <w:r w:rsidR="00E917C8">
        <w:rPr>
          <w:rFonts w:ascii="Arial" w:hAnsi="Arial" w:cs="Arial"/>
          <w:b/>
          <w:bCs/>
          <w:sz w:val="24"/>
        </w:rPr>
        <w:t>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77A4C82" w:rsidR="00A209D6" w:rsidRPr="00850467" w:rsidRDefault="003A1D5D" w:rsidP="005016CE">
      <w:r>
        <w:t>The Work Item on support of Industrial IoT, as described in [1], contains an objective to introduce support of multiple simultaneously active SPS configurations for a single BWP of a UE. It also covers an objective to handle intra-UE traffic prioritization, but SPS occasion collision is not among the agreed use cases to be addressed. However, SPS collisions may indeed happen, especially in case they are used to carry traffic of multiple periodic TSC streams. Th</w:t>
      </w:r>
      <w:r w:rsidR="001C51DE">
        <w:t>e</w:t>
      </w:r>
      <w:r>
        <w:t xml:space="preserve"> issue was for example mentioned in [2]</w:t>
      </w:r>
      <w:r w:rsidR="005016CE">
        <w:t xml:space="preserve">. In this contribution we present our view on this </w:t>
      </w:r>
      <w:r w:rsidR="001C51DE">
        <w:t>aspect</w:t>
      </w:r>
      <w:r w:rsidR="005016CE">
        <w:t>.</w:t>
      </w:r>
    </w:p>
    <w:p w14:paraId="2BBFF540" w14:textId="26C497ED" w:rsidR="00A209D6" w:rsidRPr="00850467" w:rsidRDefault="00A209D6" w:rsidP="00A209D6">
      <w:pPr>
        <w:pStyle w:val="Heading1"/>
      </w:pPr>
      <w:r w:rsidRPr="00850467">
        <w:t>2</w:t>
      </w:r>
      <w:r w:rsidRPr="00850467">
        <w:tab/>
      </w:r>
      <w:r w:rsidR="00C56182">
        <w:t>Discussion</w:t>
      </w:r>
    </w:p>
    <w:p w14:paraId="3FB0694C" w14:textId="3C014AC7" w:rsidR="001C51DE" w:rsidRDefault="02E7BEA5" w:rsidP="00A209D6">
      <w:r>
        <w:t>Since, so far, it was not possible to configure more than one SPS configuration per BWP/cell, the issue of SPS collisions was not existing. However, RAN2 specifications already consider the possibility of SPS occasion colliding with dynamic assignment. In section 10.2 of TS 38.300 [3], it is stated that:</w:t>
      </w:r>
    </w:p>
    <w:tbl>
      <w:tblPr>
        <w:tblStyle w:val="TableGrid"/>
        <w:tblW w:w="0" w:type="auto"/>
        <w:tblLook w:val="04A0" w:firstRow="1" w:lastRow="0" w:firstColumn="1" w:lastColumn="0" w:noHBand="0" w:noVBand="1"/>
      </w:tblPr>
      <w:tblGrid>
        <w:gridCol w:w="9631"/>
      </w:tblGrid>
      <w:tr w:rsidR="001C51DE" w14:paraId="2DCE5A2B" w14:textId="77777777" w:rsidTr="001C51DE">
        <w:tc>
          <w:tcPr>
            <w:tcW w:w="9631" w:type="dxa"/>
          </w:tcPr>
          <w:p w14:paraId="7AF1EAEC" w14:textId="69E03CB3" w:rsidR="001C51DE" w:rsidRDefault="001C51DE" w:rsidP="00A209D6">
            <w:pPr>
              <w:rPr>
                <w:lang w:eastAsia="en-GB"/>
              </w:rPr>
            </w:pPr>
            <w:r>
              <w:t>The dynamically allocated downlink reception overrides the configured downlink assignment in the same serving cell, if they overlap in time. Otherwise a downlink reception according to the configured downlink assignment is assumed, if activated.</w:t>
            </w:r>
          </w:p>
        </w:tc>
      </w:tr>
    </w:tbl>
    <w:p w14:paraId="6C9D2AA1" w14:textId="77777777" w:rsidR="001C51DE" w:rsidRDefault="001C51DE" w:rsidP="00A209D6"/>
    <w:p w14:paraId="672564D1" w14:textId="2E293256" w:rsidR="001C51DE" w:rsidRDefault="001C51DE" w:rsidP="00A209D6">
      <w:r>
        <w:t>Similarly, also from MAC specifications, it is clear that the UE does not process SPS grant in case it overlaps with the dynamic downlink assignment received on PDCCH (see TS 38.321, section 5..3.1 [4]):</w:t>
      </w:r>
    </w:p>
    <w:tbl>
      <w:tblPr>
        <w:tblStyle w:val="TableGrid"/>
        <w:tblW w:w="0" w:type="auto"/>
        <w:tblLook w:val="04A0" w:firstRow="1" w:lastRow="0" w:firstColumn="1" w:lastColumn="0" w:noHBand="0" w:noVBand="1"/>
      </w:tblPr>
      <w:tblGrid>
        <w:gridCol w:w="9631"/>
      </w:tblGrid>
      <w:tr w:rsidR="001C51DE" w14:paraId="62238F00" w14:textId="77777777" w:rsidTr="001C51DE">
        <w:tc>
          <w:tcPr>
            <w:tcW w:w="9631" w:type="dxa"/>
          </w:tcPr>
          <w:p w14:paraId="2875D8BC" w14:textId="77777777" w:rsidR="001C51DE" w:rsidRDefault="001C51DE" w:rsidP="001C51DE">
            <w:pPr>
              <w:rPr>
                <w:lang w:eastAsia="ko-KR"/>
              </w:rPr>
            </w:pPr>
            <w:r>
              <w:rPr>
                <w:lang w:eastAsia="ko-KR"/>
              </w:rPr>
              <w:t>For each Serving Cell and each configured downlink assignment, if configured and activated, the MAC entity shall:</w:t>
            </w:r>
          </w:p>
          <w:p w14:paraId="4C087C0A" w14:textId="77777777" w:rsidR="001C51DE" w:rsidRDefault="001C51DE" w:rsidP="001C51DE">
            <w:pPr>
              <w:pStyle w:val="B1"/>
              <w:rPr>
                <w:lang w:eastAsia="ko-KR"/>
              </w:rPr>
            </w:pPr>
            <w:r>
              <w:rPr>
                <w:lang w:eastAsia="ko-KR"/>
              </w:rPr>
              <w:t xml:space="preserve">1&gt; </w:t>
            </w:r>
            <w:r>
              <w:rPr>
                <w:highlight w:val="yellow"/>
                <w:lang w:eastAsia="ko-KR"/>
              </w:rPr>
              <w:t>if the PDSCH duration of the configured downlink assignment does not overlap with the PDSCH duration of a downlink assignment received on the PDCCH for this Serving Cell</w:t>
            </w:r>
            <w:r>
              <w:rPr>
                <w:lang w:eastAsia="ko-KR"/>
              </w:rPr>
              <w:t>:</w:t>
            </w:r>
          </w:p>
          <w:p w14:paraId="7C8B5A01" w14:textId="77777777" w:rsidR="001C51DE" w:rsidRDefault="001C51DE" w:rsidP="001C51DE">
            <w:pPr>
              <w:pStyle w:val="B2"/>
              <w:rPr>
                <w:lang w:eastAsia="ko-KR"/>
              </w:rPr>
            </w:pPr>
            <w:r>
              <w:rPr>
                <w:lang w:eastAsia="ko-KR"/>
              </w:rPr>
              <w:t>2&gt; instruct the physical layer to receive, in this PDSCH duration, transport block on the DL-SCH according to the configured downlink assignment and to deliver it to the HARQ entity;</w:t>
            </w:r>
          </w:p>
          <w:p w14:paraId="0908D86B" w14:textId="77777777" w:rsidR="001C51DE" w:rsidRDefault="001C51DE" w:rsidP="001C51DE">
            <w:pPr>
              <w:pStyle w:val="B2"/>
              <w:rPr>
                <w:lang w:eastAsia="ko-KR"/>
              </w:rPr>
            </w:pPr>
            <w:r>
              <w:rPr>
                <w:lang w:eastAsia="ko-KR"/>
              </w:rPr>
              <w:t>2&gt; set the HARQ Process ID to the HARQ Process ID associated with this PDSCH duration;</w:t>
            </w:r>
          </w:p>
          <w:p w14:paraId="336344AF" w14:textId="77777777" w:rsidR="001C51DE" w:rsidRDefault="001C51DE" w:rsidP="001C51DE">
            <w:pPr>
              <w:pStyle w:val="B2"/>
              <w:rPr>
                <w:lang w:eastAsia="ko-KR"/>
              </w:rPr>
            </w:pPr>
            <w:r>
              <w:rPr>
                <w:lang w:eastAsia="ko-KR"/>
              </w:rPr>
              <w:t>2&gt; consider the NDI bit for the corresponding HARQ process to have been toggled;</w:t>
            </w:r>
          </w:p>
          <w:p w14:paraId="6D07DFDA" w14:textId="5C07F7FE" w:rsidR="001C51DE" w:rsidRDefault="001C51DE" w:rsidP="001C51DE">
            <w:pPr>
              <w:pStyle w:val="B2"/>
              <w:rPr>
                <w:lang w:eastAsia="ko-KR"/>
              </w:rPr>
            </w:pPr>
            <w:r>
              <w:rPr>
                <w:lang w:eastAsia="ko-KR"/>
              </w:rPr>
              <w:t>2&gt; indicate the presence of a configured downlink assignment and deliver the stored HARQ information to the HARQ entity.</w:t>
            </w:r>
          </w:p>
        </w:tc>
      </w:tr>
    </w:tbl>
    <w:p w14:paraId="79EB1D0A" w14:textId="2BA09F46" w:rsidR="001C51DE" w:rsidRDefault="001C51DE" w:rsidP="00A209D6"/>
    <w:p w14:paraId="4C0B1C5E" w14:textId="13051CD7" w:rsidR="001C51DE" w:rsidRDefault="001C51DE" w:rsidP="00A209D6">
      <w:pPr>
        <w:rPr>
          <w:b/>
        </w:rPr>
      </w:pPr>
      <w:r>
        <w:rPr>
          <w:b/>
        </w:rPr>
        <w:t xml:space="preserve">Observation 1: In case </w:t>
      </w:r>
      <w:r w:rsidR="00B4600C">
        <w:rPr>
          <w:b/>
        </w:rPr>
        <w:t>configured downlink assignment overlaps with dynamic assignment, UE prioritizes downlink assignment and does not process configured one.</w:t>
      </w:r>
    </w:p>
    <w:p w14:paraId="390F68A1" w14:textId="0865071A" w:rsidR="00140EE1" w:rsidRDefault="002306A8" w:rsidP="00A209D6">
      <w:r w:rsidRPr="002306A8">
        <w:t>Thi</w:t>
      </w:r>
      <w:r>
        <w:t xml:space="preserve">s is the same rule as applied to UL grants </w:t>
      </w:r>
      <w:r w:rsidR="00140EE1">
        <w:t>i</w:t>
      </w:r>
      <w:r>
        <w:t>n Rel-15, but</w:t>
      </w:r>
      <w:r w:rsidR="00786BC4">
        <w:t>,</w:t>
      </w:r>
      <w:r>
        <w:t xml:space="preserve"> in this case, such principle is reasonable since the gNB is aware of the traffic to be carried by both grants. </w:t>
      </w:r>
      <w:r w:rsidR="00F94E92">
        <w:t xml:space="preserve">In case multiple SPS occasions are overlapping in time, the gNB is also aware of such situation. Thus, the simplest way to deal with such situation would be for the gNB to avoid it by </w:t>
      </w:r>
      <w:r w:rsidR="00F94E92">
        <w:lastRenderedPageBreak/>
        <w:t xml:space="preserve">providing UE with a dynamic </w:t>
      </w:r>
      <w:r w:rsidR="006236F3">
        <w:t>assignment</w:t>
      </w:r>
      <w:r w:rsidR="00F94E92">
        <w:t xml:space="preserve">. It would then override the SPS occasions and in particular case gNB could even provide the </w:t>
      </w:r>
      <w:r w:rsidR="0005756C">
        <w:t xml:space="preserve">assignment with resource that would </w:t>
      </w:r>
      <w:r w:rsidR="00F94E92">
        <w:t xml:space="preserve">fit </w:t>
      </w:r>
      <w:r w:rsidR="0005756C">
        <w:t xml:space="preserve">the </w:t>
      </w:r>
      <w:r w:rsidR="00F94E92">
        <w:t xml:space="preserve">traffic to be scheduled over both SPS occasions. </w:t>
      </w:r>
    </w:p>
    <w:p w14:paraId="5025EA6E" w14:textId="6E4685FD" w:rsidR="00F94E92" w:rsidRPr="00F94E92" w:rsidRDefault="00F94E92" w:rsidP="00A209D6">
      <w:pPr>
        <w:rPr>
          <w:b/>
        </w:rPr>
      </w:pPr>
      <w:r>
        <w:rPr>
          <w:b/>
        </w:rPr>
        <w:t xml:space="preserve">Observation 2: SPS occasion collisions can be avoided by the gNB by providing the UE with a dynamic </w:t>
      </w:r>
      <w:r w:rsidR="00115731">
        <w:rPr>
          <w:b/>
        </w:rPr>
        <w:t xml:space="preserve">assignment </w:t>
      </w:r>
      <w:r>
        <w:rPr>
          <w:b/>
        </w:rPr>
        <w:t xml:space="preserve">overriding </w:t>
      </w:r>
      <w:r w:rsidR="00115731">
        <w:rPr>
          <w:b/>
        </w:rPr>
        <w:t xml:space="preserve">the </w:t>
      </w:r>
      <w:r>
        <w:rPr>
          <w:b/>
        </w:rPr>
        <w:t>overlapping configured assignments.</w:t>
      </w:r>
    </w:p>
    <w:p w14:paraId="069BB0F9" w14:textId="3167D91C" w:rsidR="00F94E92" w:rsidRDefault="00F94E92" w:rsidP="00A209D6">
      <w:r>
        <w:t xml:space="preserve">It could be argued that such approach is suboptimal, since the foremost reason for introducing multiple SPS configurations was to increase transmission reliability and decrease load of </w:t>
      </w:r>
      <w:r w:rsidR="003E4A49">
        <w:t>PDCCH</w:t>
      </w:r>
      <w:r>
        <w:t>. W</w:t>
      </w:r>
      <w:r w:rsidR="00C56489">
        <w:t>hile w</w:t>
      </w:r>
      <w:r>
        <w:t xml:space="preserve">e </w:t>
      </w:r>
      <w:r w:rsidR="00C56489">
        <w:t xml:space="preserve">also </w:t>
      </w:r>
      <w:r>
        <w:t xml:space="preserve">agree with </w:t>
      </w:r>
      <w:r w:rsidR="00E65E08">
        <w:t>such argument</w:t>
      </w:r>
      <w:r>
        <w:t xml:space="preserve">, it should be noted that in contrast to other </w:t>
      </w:r>
      <w:r w:rsidR="00C56489">
        <w:t xml:space="preserve">identified </w:t>
      </w:r>
      <w:r>
        <w:t>intra-UE traffic prioritization scenario</w:t>
      </w:r>
      <w:r w:rsidR="00E65E08">
        <w:t>s</w:t>
      </w:r>
      <w:r>
        <w:t xml:space="preserve">, this </w:t>
      </w:r>
      <w:r w:rsidR="00E65E08">
        <w:t xml:space="preserve">case </w:t>
      </w:r>
      <w:r>
        <w:t>can already be handled by</w:t>
      </w:r>
      <w:r w:rsidR="00E65E08">
        <w:t xml:space="preserve"> the</w:t>
      </w:r>
      <w:r>
        <w:t xml:space="preserve"> current specifications. We therefore propose to agree the following:</w:t>
      </w:r>
    </w:p>
    <w:p w14:paraId="550FA847" w14:textId="7800DE4F" w:rsidR="00F94E92" w:rsidRPr="00F94E92" w:rsidRDefault="00F94E92" w:rsidP="00A209D6">
      <w:pPr>
        <w:rPr>
          <w:b/>
        </w:rPr>
      </w:pPr>
      <w:r>
        <w:rPr>
          <w:b/>
        </w:rPr>
        <w:t>Proposal 1: RAN2 assumes that SPS collision</w:t>
      </w:r>
      <w:r w:rsidR="00437E59">
        <w:rPr>
          <w:b/>
        </w:rPr>
        <w:t xml:space="preserve">s can be avoided by the gNB providing UE with a dynamic </w:t>
      </w:r>
      <w:r w:rsidR="00115731">
        <w:rPr>
          <w:b/>
        </w:rPr>
        <w:t xml:space="preserve">assignment </w:t>
      </w:r>
      <w:r w:rsidR="00437E59">
        <w:rPr>
          <w:b/>
        </w:rPr>
        <w:t xml:space="preserve">overriding </w:t>
      </w:r>
      <w:r w:rsidR="00115731">
        <w:rPr>
          <w:b/>
        </w:rPr>
        <w:t xml:space="preserve">the </w:t>
      </w:r>
      <w:r w:rsidR="00437E59">
        <w:rPr>
          <w:b/>
        </w:rPr>
        <w:t xml:space="preserve">overlapping configured assignments. </w:t>
      </w:r>
      <w:r w:rsidR="00F807D8">
        <w:rPr>
          <w:b/>
        </w:rPr>
        <w:t>FFS whether some enhancements for SPS collisions are required, but they should be treated with lower priority compared to other collision cases.</w:t>
      </w:r>
    </w:p>
    <w:p w14:paraId="39460809" w14:textId="78429071" w:rsidR="00F94E92" w:rsidRDefault="00447077" w:rsidP="00A209D6">
      <w:r>
        <w:t xml:space="preserve">One impact which may additionally be considered is the UE behaviour </w:t>
      </w:r>
      <w:r w:rsidR="00C56489">
        <w:t>when</w:t>
      </w:r>
      <w:r>
        <w:t xml:space="preserve"> the gNB does not provide the dynamic </w:t>
      </w:r>
      <w:r w:rsidR="00115731">
        <w:t xml:space="preserve">assignment </w:t>
      </w:r>
      <w:r w:rsidR="00C56489">
        <w:t xml:space="preserve">to </w:t>
      </w:r>
      <w:r>
        <w:t>overrid</w:t>
      </w:r>
      <w:r w:rsidR="00C56489">
        <w:t>e</w:t>
      </w:r>
      <w:r>
        <w:t xml:space="preserve"> the colliding SPS occasions. The UE behaviour in this situation </w:t>
      </w:r>
      <w:r w:rsidR="00C56489">
        <w:t>is</w:t>
      </w:r>
      <w:r>
        <w:t xml:space="preserve"> </w:t>
      </w:r>
      <w:r w:rsidR="00C56489">
        <w:t xml:space="preserve">currently </w:t>
      </w:r>
      <w:r>
        <w:t>unspecified and it could unnecessarily monitor the SPS occasion and send HARQ-</w:t>
      </w:r>
      <w:r w:rsidR="00115731">
        <w:t xml:space="preserve">NACK </w:t>
      </w:r>
      <w:r w:rsidR="000260D6">
        <w:t>to the gNB. Therefore, we propose to agree on the following as a baseline, which could be enhanced, if time permits:</w:t>
      </w:r>
    </w:p>
    <w:p w14:paraId="5B4E791A" w14:textId="11B33941" w:rsidR="000260D6" w:rsidRPr="000260D6" w:rsidRDefault="000260D6" w:rsidP="00A209D6">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66D6D29" w14:textId="482BBDAE" w:rsidR="00A209D6" w:rsidRPr="006E13D1" w:rsidRDefault="00A209D6" w:rsidP="00A209D6">
      <w:pPr>
        <w:pStyle w:val="Heading1"/>
      </w:pPr>
      <w:r w:rsidRPr="006E13D1">
        <w:t>3</w:t>
      </w:r>
      <w:r w:rsidRPr="006E13D1">
        <w:tab/>
      </w:r>
      <w:r w:rsidR="003D6243">
        <w:t>Summary</w:t>
      </w:r>
    </w:p>
    <w:p w14:paraId="1E8991F2" w14:textId="246C768F" w:rsidR="00D60162" w:rsidRDefault="007D5EB5" w:rsidP="00D60162">
      <w:r>
        <w:t xml:space="preserve">Based on the discussion in this paper, the following is proposed with respect to </w:t>
      </w:r>
      <w:r w:rsidRPr="007D5EB5">
        <w:t>SPS collisions w</w:t>
      </w:r>
      <w:r>
        <w:t>hen</w:t>
      </w:r>
      <w:r w:rsidRPr="007D5EB5">
        <w:t xml:space="preserve"> multiple SPS configurations</w:t>
      </w:r>
      <w:r>
        <w:t xml:space="preserve"> are active in the UE:</w:t>
      </w:r>
    </w:p>
    <w:p w14:paraId="589045E2" w14:textId="77777777" w:rsidR="007D5EB5" w:rsidRPr="00F94E92" w:rsidRDefault="007D5EB5" w:rsidP="007D5EB5">
      <w:pPr>
        <w:rPr>
          <w:b/>
        </w:rPr>
      </w:pPr>
      <w:r>
        <w:rPr>
          <w:b/>
        </w:rPr>
        <w:t>Proposal 1: RAN2 assumes that SPS collisions can be avoided by the gNB providing UE with a dynamic assignment overriding the overlapping configured assignments. FFS whether some enhancements for SPS collisions are required, but they should be treated with lower priority compared to other collision cases.</w:t>
      </w:r>
    </w:p>
    <w:p w14:paraId="31D5D48E" w14:textId="77777777" w:rsidR="007D5EB5" w:rsidRPr="000260D6" w:rsidRDefault="007D5EB5" w:rsidP="007D5EB5">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00D2124" w14:textId="77777777" w:rsidR="007D5EB5" w:rsidRPr="006C04F0" w:rsidRDefault="007D5EB5" w:rsidP="00D60162"/>
    <w:p w14:paraId="5FF2457F" w14:textId="0CC7EB30" w:rsidR="00A209D6" w:rsidRPr="00D60162" w:rsidRDefault="003D6243" w:rsidP="00D60162">
      <w:pPr>
        <w:pStyle w:val="Heading1"/>
      </w:pPr>
      <w:r>
        <w:t>References</w:t>
      </w:r>
    </w:p>
    <w:p w14:paraId="432B0A82" w14:textId="091DB8D8" w:rsidR="00A209D6" w:rsidRPr="00070167" w:rsidRDefault="003A1D5D" w:rsidP="003A1D5D">
      <w:pPr>
        <w:pStyle w:val="ListParagraph"/>
        <w:numPr>
          <w:ilvl w:val="0"/>
          <w:numId w:val="11"/>
        </w:numPr>
        <w:rPr>
          <w:i/>
        </w:rPr>
      </w:pPr>
      <w:r w:rsidRPr="003A1D5D">
        <w:t>RP-190728</w:t>
      </w:r>
      <w:r>
        <w:t xml:space="preserve">, </w:t>
      </w:r>
      <w:r w:rsidRPr="003A1D5D">
        <w:rPr>
          <w:i/>
        </w:rPr>
        <w:t>New WID: Support of NR Industrial Internet of Things (IoT)</w:t>
      </w:r>
      <w:r>
        <w:t xml:space="preserve">, </w:t>
      </w:r>
      <w:r w:rsidRPr="003A1D5D">
        <w:t>Nokia, Nokia Shanghai Bell</w:t>
      </w:r>
    </w:p>
    <w:p w14:paraId="5448FE7A" w14:textId="7D7CD638" w:rsidR="00070167" w:rsidRDefault="00070167" w:rsidP="003A1D5D">
      <w:pPr>
        <w:pStyle w:val="ListParagraph"/>
        <w:numPr>
          <w:ilvl w:val="0"/>
          <w:numId w:val="11"/>
        </w:numPr>
      </w:pPr>
      <w:r w:rsidRPr="00070167">
        <w:t>R2-1903584</w:t>
      </w:r>
      <w:r>
        <w:t xml:space="preserve">, </w:t>
      </w:r>
      <w:r w:rsidRPr="00070167">
        <w:rPr>
          <w:i/>
        </w:rPr>
        <w:t>SPS enhancements for TSC traffic</w:t>
      </w:r>
      <w:r>
        <w:t xml:space="preserve">, </w:t>
      </w:r>
      <w:r w:rsidRPr="00070167">
        <w:t>NTT DOCOMO, INC.</w:t>
      </w:r>
    </w:p>
    <w:p w14:paraId="61A22626" w14:textId="1EBDD1B9" w:rsidR="1C3D152A" w:rsidRDefault="1C3D152A" w:rsidP="1C3D152A">
      <w:pPr>
        <w:pStyle w:val="ListParagraph"/>
        <w:numPr>
          <w:ilvl w:val="0"/>
          <w:numId w:val="11"/>
        </w:numPr>
        <w:rPr>
          <w:i/>
          <w:iCs/>
        </w:rPr>
      </w:pPr>
      <w:r>
        <w:t xml:space="preserve">3GPP TS 38.300, </w:t>
      </w:r>
      <w:r w:rsidRPr="1C3D152A">
        <w:rPr>
          <w:i/>
          <w:iCs/>
        </w:rPr>
        <w:t>NR; NR and NG-RAN Overall Description; Stage-2;</w:t>
      </w:r>
    </w:p>
    <w:p w14:paraId="00365193" w14:textId="7978D56D" w:rsidR="001C51DE" w:rsidRPr="00070167" w:rsidRDefault="1C3D152A" w:rsidP="003A1D5D">
      <w:pPr>
        <w:pStyle w:val="ListParagraph"/>
        <w:numPr>
          <w:ilvl w:val="0"/>
          <w:numId w:val="11"/>
        </w:numPr>
      </w:pPr>
      <w:r>
        <w:t xml:space="preserve">3GPP TS 38.321, </w:t>
      </w:r>
      <w:r w:rsidRPr="1C3D152A">
        <w:rPr>
          <w:i/>
          <w:iCs/>
        </w:rPr>
        <w:t>Medium Access Control (MAC) protocol specification</w:t>
      </w:r>
    </w:p>
    <w:p w14:paraId="653EED19" w14:textId="77777777" w:rsidR="00A209D6" w:rsidRPr="00D60162" w:rsidRDefault="00A209D6" w:rsidP="00A209D6"/>
    <w:p w14:paraId="35F222F4" w14:textId="77777777" w:rsidR="00080512" w:rsidRPr="00D60162" w:rsidRDefault="00080512" w:rsidP="00A209D6"/>
    <w:sectPr w:rsidR="00080512" w:rsidRPr="00D601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45343" w14:textId="77777777" w:rsidR="00474C01" w:rsidRDefault="00474C01">
      <w:r>
        <w:separator/>
      </w:r>
    </w:p>
  </w:endnote>
  <w:endnote w:type="continuationSeparator" w:id="0">
    <w:p w14:paraId="27F1AC04" w14:textId="77777777" w:rsidR="00474C01" w:rsidRDefault="00474C01">
      <w:r>
        <w:continuationSeparator/>
      </w:r>
    </w:p>
  </w:endnote>
  <w:endnote w:type="continuationNotice" w:id="1">
    <w:p w14:paraId="098F9005" w14:textId="77777777" w:rsidR="00474C01" w:rsidRDefault="0047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D63C" w14:textId="77777777" w:rsidR="00474C01" w:rsidRDefault="00474C01">
      <w:r>
        <w:separator/>
      </w:r>
    </w:p>
  </w:footnote>
  <w:footnote w:type="continuationSeparator" w:id="0">
    <w:p w14:paraId="0CD78027" w14:textId="77777777" w:rsidR="00474C01" w:rsidRDefault="00474C01">
      <w:r>
        <w:continuationSeparator/>
      </w:r>
    </w:p>
  </w:footnote>
  <w:footnote w:type="continuationNotice" w:id="1">
    <w:p w14:paraId="5EBEFB8E" w14:textId="77777777" w:rsidR="00474C01" w:rsidRDefault="00474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7D4F2B"/>
    <w:multiLevelType w:val="hybridMultilevel"/>
    <w:tmpl w:val="EB1AE34C"/>
    <w:lvl w:ilvl="0" w:tplc="FFFFFFFF">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390B58"/>
    <w:multiLevelType w:val="hybridMultilevel"/>
    <w:tmpl w:val="F10CF328"/>
    <w:lvl w:ilvl="0" w:tplc="6AE07556">
      <w:start w:val="2"/>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14"/>
  </w:num>
  <w:num w:numId="10">
    <w:abstractNumId w:val="4"/>
  </w:num>
  <w:num w:numId="11">
    <w:abstractNumId w:val="10"/>
  </w:num>
  <w:num w:numId="12">
    <w:abstractNumId w:val="3"/>
  </w:num>
  <w:num w:numId="13">
    <w:abstractNumId w:val="5"/>
  </w:num>
  <w:num w:numId="14">
    <w:abstractNumId w:val="12"/>
  </w:num>
  <w:num w:numId="15">
    <w:abstractNumId w:val="1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7ED4"/>
    <w:rsid w:val="000260D6"/>
    <w:rsid w:val="00033397"/>
    <w:rsid w:val="00040095"/>
    <w:rsid w:val="0005756C"/>
    <w:rsid w:val="00070167"/>
    <w:rsid w:val="00073C9C"/>
    <w:rsid w:val="00080512"/>
    <w:rsid w:val="00090468"/>
    <w:rsid w:val="00094568"/>
    <w:rsid w:val="000B7BCF"/>
    <w:rsid w:val="000C522B"/>
    <w:rsid w:val="000D58AB"/>
    <w:rsid w:val="00112F1A"/>
    <w:rsid w:val="00115731"/>
    <w:rsid w:val="00140EE1"/>
    <w:rsid w:val="00145075"/>
    <w:rsid w:val="00155497"/>
    <w:rsid w:val="001741A0"/>
    <w:rsid w:val="00175FA0"/>
    <w:rsid w:val="00194CD0"/>
    <w:rsid w:val="001B49C9"/>
    <w:rsid w:val="001C4F79"/>
    <w:rsid w:val="001C51DE"/>
    <w:rsid w:val="001F168B"/>
    <w:rsid w:val="001F49DF"/>
    <w:rsid w:val="001F7831"/>
    <w:rsid w:val="00204045"/>
    <w:rsid w:val="0020712B"/>
    <w:rsid w:val="0022606D"/>
    <w:rsid w:val="002306A8"/>
    <w:rsid w:val="00231728"/>
    <w:rsid w:val="002610D8"/>
    <w:rsid w:val="002747EC"/>
    <w:rsid w:val="002855BF"/>
    <w:rsid w:val="002F0D22"/>
    <w:rsid w:val="003172DC"/>
    <w:rsid w:val="00325AE3"/>
    <w:rsid w:val="00326069"/>
    <w:rsid w:val="0035462D"/>
    <w:rsid w:val="00364B41"/>
    <w:rsid w:val="00383096"/>
    <w:rsid w:val="0038579A"/>
    <w:rsid w:val="003A1D5D"/>
    <w:rsid w:val="003A41EF"/>
    <w:rsid w:val="003B40AD"/>
    <w:rsid w:val="003C4E37"/>
    <w:rsid w:val="003D6243"/>
    <w:rsid w:val="003E16BE"/>
    <w:rsid w:val="003E4A49"/>
    <w:rsid w:val="003F4E28"/>
    <w:rsid w:val="004006E8"/>
    <w:rsid w:val="00401855"/>
    <w:rsid w:val="00437E59"/>
    <w:rsid w:val="00447077"/>
    <w:rsid w:val="00465587"/>
    <w:rsid w:val="00474C01"/>
    <w:rsid w:val="00476961"/>
    <w:rsid w:val="00477455"/>
    <w:rsid w:val="004A1F7B"/>
    <w:rsid w:val="004C44D2"/>
    <w:rsid w:val="004D3578"/>
    <w:rsid w:val="004D380D"/>
    <w:rsid w:val="004D3FE5"/>
    <w:rsid w:val="004E213A"/>
    <w:rsid w:val="005016CE"/>
    <w:rsid w:val="00503171"/>
    <w:rsid w:val="00506C28"/>
    <w:rsid w:val="00534DA0"/>
    <w:rsid w:val="00543E6C"/>
    <w:rsid w:val="00565087"/>
    <w:rsid w:val="0056573F"/>
    <w:rsid w:val="0058151E"/>
    <w:rsid w:val="00611566"/>
    <w:rsid w:val="006236F3"/>
    <w:rsid w:val="00646D99"/>
    <w:rsid w:val="00656910"/>
    <w:rsid w:val="006807E2"/>
    <w:rsid w:val="00686657"/>
    <w:rsid w:val="006C04F0"/>
    <w:rsid w:val="006C66D8"/>
    <w:rsid w:val="006D1E24"/>
    <w:rsid w:val="006E1417"/>
    <w:rsid w:val="006F6A2C"/>
    <w:rsid w:val="00710201"/>
    <w:rsid w:val="0072073A"/>
    <w:rsid w:val="007342B5"/>
    <w:rsid w:val="00734A5B"/>
    <w:rsid w:val="00744E76"/>
    <w:rsid w:val="00757D40"/>
    <w:rsid w:val="00781F0F"/>
    <w:rsid w:val="00786BC4"/>
    <w:rsid w:val="0078727C"/>
    <w:rsid w:val="0079049D"/>
    <w:rsid w:val="00793DC5"/>
    <w:rsid w:val="007B18D8"/>
    <w:rsid w:val="007C095F"/>
    <w:rsid w:val="007C2DD0"/>
    <w:rsid w:val="007D5EB5"/>
    <w:rsid w:val="007F6145"/>
    <w:rsid w:val="008028A4"/>
    <w:rsid w:val="00813245"/>
    <w:rsid w:val="00850467"/>
    <w:rsid w:val="008768CA"/>
    <w:rsid w:val="00877EF9"/>
    <w:rsid w:val="00880559"/>
    <w:rsid w:val="008B5306"/>
    <w:rsid w:val="008D2E4D"/>
    <w:rsid w:val="008F396F"/>
    <w:rsid w:val="0090271F"/>
    <w:rsid w:val="00902DB9"/>
    <w:rsid w:val="00903F37"/>
    <w:rsid w:val="0090466A"/>
    <w:rsid w:val="00926C52"/>
    <w:rsid w:val="00936071"/>
    <w:rsid w:val="00940212"/>
    <w:rsid w:val="00941EE2"/>
    <w:rsid w:val="00942EC2"/>
    <w:rsid w:val="00961B32"/>
    <w:rsid w:val="00962509"/>
    <w:rsid w:val="00970DB3"/>
    <w:rsid w:val="00974BB0"/>
    <w:rsid w:val="009A0AF3"/>
    <w:rsid w:val="009B07CD"/>
    <w:rsid w:val="009B0ED4"/>
    <w:rsid w:val="009C19E9"/>
    <w:rsid w:val="009D74A6"/>
    <w:rsid w:val="00A10F02"/>
    <w:rsid w:val="00A204CA"/>
    <w:rsid w:val="00A209D6"/>
    <w:rsid w:val="00A53724"/>
    <w:rsid w:val="00A54B2B"/>
    <w:rsid w:val="00A82346"/>
    <w:rsid w:val="00A9671C"/>
    <w:rsid w:val="00AA1553"/>
    <w:rsid w:val="00AE54A9"/>
    <w:rsid w:val="00B018C5"/>
    <w:rsid w:val="00B05380"/>
    <w:rsid w:val="00B05962"/>
    <w:rsid w:val="00B15449"/>
    <w:rsid w:val="00B16C2F"/>
    <w:rsid w:val="00B27303"/>
    <w:rsid w:val="00B4600C"/>
    <w:rsid w:val="00B47FD1"/>
    <w:rsid w:val="00B516BB"/>
    <w:rsid w:val="00B84DB2"/>
    <w:rsid w:val="00B905B0"/>
    <w:rsid w:val="00BA56BE"/>
    <w:rsid w:val="00BC3555"/>
    <w:rsid w:val="00C12B51"/>
    <w:rsid w:val="00C24650"/>
    <w:rsid w:val="00C25465"/>
    <w:rsid w:val="00C33079"/>
    <w:rsid w:val="00C56182"/>
    <w:rsid w:val="00C56489"/>
    <w:rsid w:val="00C83A13"/>
    <w:rsid w:val="00C9068C"/>
    <w:rsid w:val="00C92967"/>
    <w:rsid w:val="00CA1EBA"/>
    <w:rsid w:val="00CA3D0C"/>
    <w:rsid w:val="00CA654B"/>
    <w:rsid w:val="00CB72B8"/>
    <w:rsid w:val="00CD4C7B"/>
    <w:rsid w:val="00D13C13"/>
    <w:rsid w:val="00D33BE3"/>
    <w:rsid w:val="00D3792D"/>
    <w:rsid w:val="00D44373"/>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E14AD4"/>
    <w:rsid w:val="00E32531"/>
    <w:rsid w:val="00E46C08"/>
    <w:rsid w:val="00E471CF"/>
    <w:rsid w:val="00E62835"/>
    <w:rsid w:val="00E65E08"/>
    <w:rsid w:val="00E77645"/>
    <w:rsid w:val="00E77C32"/>
    <w:rsid w:val="00E83697"/>
    <w:rsid w:val="00E917C8"/>
    <w:rsid w:val="00EA66C9"/>
    <w:rsid w:val="00EC4A25"/>
    <w:rsid w:val="00ED786C"/>
    <w:rsid w:val="00F025A2"/>
    <w:rsid w:val="00F07388"/>
    <w:rsid w:val="00F2026E"/>
    <w:rsid w:val="00F2210A"/>
    <w:rsid w:val="00F37743"/>
    <w:rsid w:val="00F54A3D"/>
    <w:rsid w:val="00F54CB0"/>
    <w:rsid w:val="00F57010"/>
    <w:rsid w:val="00F653B8"/>
    <w:rsid w:val="00F71B89"/>
    <w:rsid w:val="00F7353C"/>
    <w:rsid w:val="00F76F8F"/>
    <w:rsid w:val="00F807D8"/>
    <w:rsid w:val="00F941DF"/>
    <w:rsid w:val="00F94E92"/>
    <w:rsid w:val="00FA1266"/>
    <w:rsid w:val="00FB36FA"/>
    <w:rsid w:val="00FC1192"/>
    <w:rsid w:val="00FE251B"/>
    <w:rsid w:val="02E7BEA5"/>
    <w:rsid w:val="1C3D152A"/>
    <w:rsid w:val="2FF62E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C2E85B1F-4720-46D2-89D1-B923B7E0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B1Char">
    <w:name w:val="B1 Char"/>
    <w:basedOn w:val="DefaultParagraphFont"/>
    <w:link w:val="B1"/>
    <w:locked/>
    <w:rsid w:val="001C51DE"/>
    <w:rPr>
      <w:lang w:eastAsia="en-US"/>
    </w:rPr>
  </w:style>
  <w:style w:type="character" w:customStyle="1" w:styleId="B2Char">
    <w:name w:val="B2 Char"/>
    <w:basedOn w:val="DefaultParagraphFont"/>
    <w:link w:val="B2"/>
    <w:locked/>
    <w:rsid w:val="001C51DE"/>
    <w:rPr>
      <w:lang w:eastAsia="en-US"/>
    </w:rPr>
  </w:style>
  <w:style w:type="character" w:styleId="CommentReference">
    <w:name w:val="annotation reference"/>
    <w:basedOn w:val="DefaultParagraphFont"/>
    <w:rsid w:val="003E4A49"/>
    <w:rPr>
      <w:sz w:val="16"/>
      <w:szCs w:val="16"/>
    </w:rPr>
  </w:style>
  <w:style w:type="paragraph" w:styleId="CommentText">
    <w:name w:val="annotation text"/>
    <w:basedOn w:val="Normal"/>
    <w:link w:val="CommentTextChar"/>
    <w:rsid w:val="003E4A49"/>
  </w:style>
  <w:style w:type="character" w:customStyle="1" w:styleId="CommentTextChar">
    <w:name w:val="Comment Text Char"/>
    <w:basedOn w:val="DefaultParagraphFont"/>
    <w:link w:val="CommentText"/>
    <w:rsid w:val="003E4A49"/>
    <w:rPr>
      <w:lang w:eastAsia="en-US"/>
    </w:rPr>
  </w:style>
  <w:style w:type="paragraph" w:styleId="CommentSubject">
    <w:name w:val="annotation subject"/>
    <w:basedOn w:val="CommentText"/>
    <w:next w:val="CommentText"/>
    <w:link w:val="CommentSubjectChar"/>
    <w:rsid w:val="003E4A49"/>
    <w:rPr>
      <w:b/>
      <w:bCs/>
    </w:rPr>
  </w:style>
  <w:style w:type="character" w:customStyle="1" w:styleId="CommentSubjectChar">
    <w:name w:val="Comment Subject Char"/>
    <w:basedOn w:val="CommentTextChar"/>
    <w:link w:val="CommentSubject"/>
    <w:rsid w:val="003E4A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94143">
      <w:bodyDiv w:val="1"/>
      <w:marLeft w:val="0"/>
      <w:marRight w:val="0"/>
      <w:marTop w:val="0"/>
      <w:marBottom w:val="0"/>
      <w:divBdr>
        <w:top w:val="none" w:sz="0" w:space="0" w:color="auto"/>
        <w:left w:val="none" w:sz="0" w:space="0" w:color="auto"/>
        <w:bottom w:val="none" w:sz="0" w:space="0" w:color="auto"/>
        <w:right w:val="none" w:sz="0" w:space="0" w:color="auto"/>
      </w:divBdr>
    </w:div>
    <w:div w:id="226501490">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36433435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752361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4048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1009772">
      <w:bodyDiv w:val="1"/>
      <w:marLeft w:val="0"/>
      <w:marRight w:val="0"/>
      <w:marTop w:val="0"/>
      <w:marBottom w:val="0"/>
      <w:divBdr>
        <w:top w:val="none" w:sz="0" w:space="0" w:color="auto"/>
        <w:left w:val="none" w:sz="0" w:space="0" w:color="auto"/>
        <w:bottom w:val="none" w:sz="0" w:space="0" w:color="auto"/>
        <w:right w:val="none" w:sz="0" w:space="0" w:color="auto"/>
      </w:divBdr>
    </w:div>
    <w:div w:id="147432723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5AIRPNAIUNRU-859666464-5825</_dlc_DocId>
    <_dlc_DocIdUrl xmlns="71c5aaf6-e6ce-465b-b873-5148d2a4c105">
      <Url>https://nokia.sharepoint.com/sites/c5g/e2earch/_layouts/15/DocIdRedir.aspx?ID=5AIRPNAIUNRU-859666464-5825</Url>
      <Description>5AIRPNAIUNRU-859666464-5825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a3840f4f-04be-43d1-b2ef-6ff1382503c7"/>
    <ds:schemaRef ds:uri="http://schemas.microsoft.com/office/2006/documentManagement/types"/>
    <ds:schemaRef ds:uri="83f22d2f-d16e-4be6-ad4f-29fa0b067c3c"/>
    <ds:schemaRef ds:uri="http://purl.org/dc/elements/1.1/"/>
    <ds:schemaRef ds:uri="http://schemas.microsoft.com/office/2006/metadata/properties"/>
    <ds:schemaRef ds:uri="http://schemas.openxmlformats.org/package/2006/metadata/core-properties"/>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942</Words>
  <Characters>4923</Characters>
  <Application>Microsoft Office Word</Application>
  <DocSecurity>0</DocSecurity>
  <Lines>41</Lines>
  <Paragraphs>11</Paragraphs>
  <ScaleCrop>false</ScaleCrop>
  <Company>Nokia Siemens Networks</Company>
  <LinksUpToDate>false</LinksUpToDate>
  <CharactersWithSpaces>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Koziol, Dawid (Nokia - PL/Wroclaw)</cp:lastModifiedBy>
  <cp:revision>9</cp:revision>
  <dcterms:created xsi:type="dcterms:W3CDTF">2019-08-15T10:57:00Z</dcterms:created>
  <dcterms:modified xsi:type="dcterms:W3CDTF">2019-11-07T20:10:00Z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e01d8ec8-2073-40a3-9792-03619616fdf2</vt:lpwstr>
  </property>
</Properties>
</file>